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openxmlformats.org/package/2006/relationships/metadata/thumbnail" Target="docProps/thumbnail.jpeg"/></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after="240"/>
        <w:jc w:val="center"/>
        <w:rPr>
          <w:u w:val="single"/>
        </w:rPr>
      </w:pPr>
      <w:bookmarkStart w:id="0" w:name="_GoBack"/>
      <w:bookmarkEnd w:id="0"/>
      <w:r>
        <w:rPr>
          <w:u w:val="single"/>
        </w:rPr>
        <w:t>Opis poslova</w:t>
      </w:r>
      <w:r>
        <w:rPr>
          <w:u w:val="single"/>
        </w:rPr>
        <w:t>,</w:t>
      </w:r>
      <w:r>
        <w:rPr>
          <w:u w:val="single"/>
        </w:rPr>
        <w:t xml:space="preserve"> podaci o plaći</w:t>
      </w:r>
      <w:r>
        <w:rPr>
          <w:u w:val="single"/>
        </w:rPr>
        <w:t>, način  provjere znanja i sposobnosti kandidat</w:t>
      </w:r>
      <w:r>
        <w:rPr>
          <w:u w:val="single"/>
        </w:rPr>
        <w:t>a</w:t>
      </w:r>
      <w:r>
        <w:rPr>
          <w:u w:val="single"/>
        </w:rPr>
        <w:t xml:space="preserve"> te područje provjere (izvori za polaganje)</w:t>
      </w:r>
    </w:p>
    <w:p>
      <w:pPr>
        <w:spacing w:after="240"/>
        <w:jc w:val="center"/>
        <w:rPr>
          <w:u w:val="single"/>
        </w:rPr>
      </w:pPr>
      <w:r>
        <w:rPr>
          <w:u w:val="single"/>
        </w:rPr>
        <w:t xml:space="preserve">za radno mjesto </w:t>
      </w:r>
      <w:r>
        <w:rPr>
          <w:u w:val="single"/>
        </w:rPr>
        <w:t>komunalni djelatnik</w:t>
      </w:r>
    </w:p>
    <w:p>
      <w:pPr>
        <w:numPr>
          <w:ilvl w:val="0"/>
          <w:numId w:val="1"/>
        </w:numPr>
      </w:pPr>
      <w:r>
        <w:t xml:space="preserve">OPIS POSLOVA </w:t>
      </w:r>
    </w:p>
    <w:p>
      <w:pPr>
        <w:rPr>
          <w:b/>
        </w:rPr>
      </w:pPr>
    </w:p>
    <w:p>
      <w:pPr>
        <w:ind w:left="720"/>
        <w:rPr>
          <w:rFonts w:cs="Calibri"/>
        </w:rPr>
      </w:pPr>
      <w:r>
        <w:rPr>
          <w:rFonts w:cs="Calibri"/>
        </w:rPr>
        <w:t>Komunalni djelatnik obavlja poslove vezane za komunalnu djelatnost, a prema Odluci o komunalnom redu obavlja poslove po nalogu  Pročelnika.                                                           10%</w:t>
      </w:r>
    </w:p>
    <w:p>
      <w:pPr>
        <w:ind w:left="720"/>
        <w:rPr>
          <w:rFonts w:cs="Calibri"/>
        </w:rPr>
      </w:pPr>
      <w:r>
        <w:rPr>
          <w:rFonts w:cs="Calibri"/>
        </w:rPr>
        <w:t>Obavlja poslove održavanja groblja na području Općine Zmijavci, pomaže u organizaciji obreda sprovoda, čisti i uređuje groblje i okoliš, brine se o urednosti mrtvačnice, te javnih</w:t>
      </w:r>
      <w:r>
        <w:rPr>
          <w:rFonts w:cs="Calibri"/>
        </w:rPr>
        <w:t xml:space="preserve"> </w:t>
      </w:r>
      <w:r>
        <w:rPr>
          <w:rFonts w:cs="Calibri"/>
        </w:rPr>
        <w:t xml:space="preserve">površina                                       </w:t>
      </w:r>
    </w:p>
    <w:p>
      <w:pPr>
        <w:ind w:left="720"/>
        <w:rPr>
          <w:rFonts w:cs="Calibri"/>
        </w:rPr>
      </w:pPr>
      <w:r>
        <w:rPr>
          <w:rFonts w:cs="Calibri"/>
        </w:rPr>
        <w:t>85%</w:t>
      </w:r>
    </w:p>
    <w:p>
      <w:pPr>
        <w:ind w:left="720"/>
        <w:rPr>
          <w:rFonts w:cs="Calibri"/>
        </w:rPr>
      </w:pPr>
      <w:r>
        <w:rPr>
          <w:rFonts w:cs="Calibri"/>
        </w:rPr>
        <w:t>Brine se o alatu potrebnim za obavljanje poslova</w:t>
      </w:r>
    </w:p>
    <w:p>
      <w:pPr>
        <w:ind w:left="720"/>
        <w:rPr>
          <w:rFonts w:cs="Calibri"/>
        </w:rPr>
      </w:pPr>
      <w:r>
        <w:rPr>
          <w:rFonts w:cs="Calibri"/>
        </w:rPr>
        <w:t>5%</w:t>
      </w:r>
    </w:p>
    <w:p>
      <w:pPr>
        <w:ind w:left="720"/>
        <w:rPr>
          <w:b/>
        </w:rPr>
      </w:pPr>
    </w:p>
    <w:p>
      <w:pPr>
        <w:numPr>
          <w:ilvl w:val="0"/>
          <w:numId w:val="1"/>
        </w:numPr>
      </w:pPr>
      <w:r>
        <w:t>PODACI O PLAĆI:</w:t>
      </w:r>
    </w:p>
    <w:p>
      <w:pPr>
        <w:rPr>
          <w:b/>
        </w:rPr>
      </w:pPr>
      <w:r>
        <w:rPr>
          <w:b/>
        </w:rPr>
        <w:t xml:space="preserve"> </w:t>
      </w:r>
    </w:p>
    <w:p>
      <w:pPr>
        <w:contextualSpacing/>
      </w:pPr>
      <w:r>
        <w:t xml:space="preserve">Plaću </w:t>
      </w:r>
      <w:r>
        <w:t>namještenik</w:t>
      </w:r>
      <w:r>
        <w:t>a čini umnožak koeficijenta složenosti poslova radnog mjesta na koje je raspoređen i osnovice za izračun plaće, uvećan za 0,5 % za svaku navršenu godi</w:t>
      </w:r>
      <w:r>
        <w:t>nu radnog staža.</w:t>
      </w:r>
    </w:p>
    <w:p>
      <w:pPr>
        <w:contextualSpacing/>
      </w:pPr>
      <w:r>
        <w:t>Odlukom o osnovici za obračun plaće službenika i namještenika u Jedinstvenom upravnom odjelu Općine Zmijavci određena je osnovica za obračun plaće službenika i namještenika u Jedinstvenom upravnom odjelu Općine Zmijavci u iznosu od 947,18 EUR bruto.</w:t>
      </w:r>
    </w:p>
    <w:p>
      <w:pPr>
        <w:contextualSpacing/>
      </w:pPr>
      <w:r>
        <w:t xml:space="preserve">Odlukom o koeficijentima za obračun plaće službenika i namještenika u Jedinstvenom upravnom odjelu Općine Zmijavci određen je koeficijent za radno mjesto </w:t>
      </w:r>
      <w:r>
        <w:t>Komunalni djelat</w:t>
      </w:r>
      <w:r>
        <w:t>nik</w:t>
      </w:r>
      <w:r>
        <w:t xml:space="preserve"> - 1,</w:t>
      </w:r>
      <w:r>
        <w:t>00</w:t>
      </w:r>
      <w:r>
        <w:t>.</w:t>
      </w:r>
    </w:p>
    <w:p>
      <w:pPr>
        <w:contextualSpacing/>
      </w:pPr>
    </w:p>
    <w:p>
      <w:pPr>
        <w:numPr>
          <w:ilvl w:val="0"/>
          <w:numId w:val="1"/>
        </w:numPr>
        <w:contextualSpacing/>
      </w:pPr>
      <w:r>
        <w:t>NAČIN</w:t>
      </w:r>
      <w:r>
        <w:t xml:space="preserve"> I PODRUČJE</w:t>
      </w:r>
      <w:r>
        <w:t xml:space="preserve"> PROVJERE ZNANJA I SPOSOBNOSTI KANDIDATA</w:t>
      </w:r>
    </w:p>
    <w:p>
      <w:pPr>
        <w:ind w:left="360"/>
        <w:contextualSpacing/>
      </w:pPr>
    </w:p>
    <w:p>
      <w:pPr>
        <w:pStyle w:val="18"/>
        <w:rPr>
          <w:rFonts w:ascii="Times New Roman" w:hAnsi="Times New Roman"/>
          <w:sz w:val="24"/>
          <w:szCs w:val="24"/>
        </w:rPr>
      </w:pPr>
      <w:r>
        <w:rPr>
          <w:rFonts w:ascii="Times New Roman" w:hAnsi="Times New Roman"/>
          <w:sz w:val="24"/>
          <w:szCs w:val="24"/>
        </w:rPr>
        <w:t xml:space="preserve">Testiranje kandidata koji ispunjavaju formalne uvjete provodi Povjerenstvo za provedbu postupka javnog natječaja. Za kandidata koji ne pristupi testiranju smatrat će se da je povukao prijavu za </w:t>
      </w:r>
      <w:r>
        <w:rPr>
          <w:rFonts w:ascii="Times New Roman" w:hAnsi="Times New Roman"/>
          <w:sz w:val="24"/>
          <w:szCs w:val="24"/>
        </w:rPr>
        <w:t>natječaj</w:t>
      </w:r>
      <w:r>
        <w:rPr>
          <w:rFonts w:ascii="Times New Roman" w:hAnsi="Times New Roman"/>
          <w:sz w:val="24"/>
          <w:szCs w:val="24"/>
        </w:rPr>
        <w:t>. Testiranje kandidata će se provesti sukladno članku 22. i 23. Zakona o službenicima i namještenicima u lokalnoj i područnoj (regionalnoj) samoupravi („Narodne novine“ broj 86/08, 61/11, 04/18, 112/19</w:t>
      </w:r>
      <w:r>
        <w:rPr>
          <w:rFonts w:ascii="Times New Roman" w:hAnsi="Times New Roman"/>
          <w:sz w:val="24"/>
          <w:szCs w:val="24"/>
        </w:rPr>
        <w:t>, 17/25</w:t>
      </w:r>
      <w:r>
        <w:rPr>
          <w:rFonts w:ascii="Times New Roman" w:hAnsi="Times New Roman"/>
          <w:sz w:val="24"/>
          <w:szCs w:val="24"/>
        </w:rPr>
        <w:t>),  a o čijem će vremenu održavanj</w:t>
      </w:r>
      <w:r>
        <w:rPr>
          <w:rFonts w:ascii="Times New Roman" w:hAnsi="Times New Roman"/>
          <w:sz w:val="24"/>
          <w:szCs w:val="24"/>
        </w:rPr>
        <w:t>a</w:t>
      </w:r>
      <w:r>
        <w:rPr>
          <w:rFonts w:ascii="Times New Roman" w:hAnsi="Times New Roman"/>
          <w:sz w:val="24"/>
          <w:szCs w:val="24"/>
        </w:rPr>
        <w:t xml:space="preserve"> kandidati koji ispunjavaju uvjete biti pravovremeno obaviješteni.</w:t>
      </w:r>
      <w:r>
        <w:rPr>
          <w:rFonts w:ascii="Times New Roman" w:hAnsi="Times New Roman"/>
          <w:sz w:val="24"/>
          <w:szCs w:val="24"/>
        </w:rPr>
        <w:t xml:space="preserve"> </w:t>
      </w:r>
    </w:p>
    <w:p>
      <w:pPr>
        <w:pStyle w:val="18"/>
        <w:rPr>
          <w:rFonts w:ascii="Times New Roman" w:hAnsi="Times New Roman"/>
          <w:sz w:val="24"/>
          <w:szCs w:val="24"/>
        </w:rPr>
      </w:pPr>
    </w:p>
    <w:p>
      <w:pPr>
        <w:pStyle w:val="18"/>
        <w:rPr>
          <w:rFonts w:ascii="Times New Roman" w:hAnsi="Times New Roman"/>
          <w:sz w:val="24"/>
          <w:szCs w:val="24"/>
        </w:rPr>
      </w:pPr>
      <w:r>
        <w:rPr>
          <w:rFonts w:ascii="Times New Roman" w:hAnsi="Times New Roman"/>
          <w:sz w:val="24"/>
          <w:szCs w:val="24"/>
        </w:rPr>
        <w:t>Provjera znanja i sposobnosti sastoji se od:</w:t>
      </w:r>
    </w:p>
    <w:p>
      <w:pPr>
        <w:pStyle w:val="18"/>
        <w:rPr>
          <w:rFonts w:ascii="Times New Roman" w:hAnsi="Times New Roman"/>
          <w:sz w:val="24"/>
          <w:szCs w:val="24"/>
        </w:rPr>
      </w:pPr>
      <w:r>
        <w:rPr>
          <w:rFonts w:ascii="Times New Roman" w:hAnsi="Times New Roman"/>
          <w:sz w:val="24"/>
          <w:szCs w:val="24"/>
        </w:rPr>
        <w:t xml:space="preserve">pisanog testa iz općeg znanja - poznavanja Statuta Općine </w:t>
      </w:r>
      <w:r>
        <w:rPr>
          <w:rFonts w:ascii="Times New Roman" w:hAnsi="Times New Roman"/>
          <w:sz w:val="24"/>
          <w:szCs w:val="24"/>
        </w:rPr>
        <w:t>Zmi</w:t>
      </w:r>
      <w:r>
        <w:rPr>
          <w:rFonts w:ascii="Times New Roman" w:hAnsi="Times New Roman"/>
          <w:sz w:val="24"/>
          <w:szCs w:val="24"/>
        </w:rPr>
        <w:t>javci</w:t>
      </w:r>
      <w:r>
        <w:rPr>
          <w:rFonts w:ascii="Times New Roman" w:hAnsi="Times New Roman"/>
          <w:sz w:val="24"/>
          <w:szCs w:val="24"/>
        </w:rPr>
        <w:t xml:space="preserve">, dostupan na linku: </w:t>
      </w:r>
      <w:r>
        <w:rPr>
          <w:rStyle w:val="15"/>
          <w:rFonts w:ascii="Times New Roman" w:hAnsi="Times New Roman"/>
          <w:sz w:val="24"/>
          <w:szCs w:val="24"/>
        </w:rPr>
        <w:fldChar w:fldCharType="begin"/>
      </w:r>
      <w:r>
        <w:instrText>HYPERLINK "https://zmijavci.hr/107-2/"</w:instrText>
      </w:r>
      <w:r>
        <w:rPr>
          <w:rStyle w:val="15"/>
          <w:rFonts w:ascii="Times New Roman" w:hAnsi="Times New Roman"/>
          <w:sz w:val="24"/>
          <w:szCs w:val="24"/>
        </w:rPr>
        <w:fldChar w:fldCharType="separate"/>
      </w:r>
      <w:r>
        <w:rPr>
          <w:rStyle w:val="15"/>
          <w:rFonts w:ascii="Times New Roman" w:hAnsi="Times New Roman"/>
          <w:sz w:val="24"/>
          <w:szCs w:val="24"/>
        </w:rPr>
        <w:t>https://zmi</w:t>
      </w:r>
      <w:r>
        <w:rPr>
          <w:rStyle w:val="15"/>
          <w:rFonts w:ascii="Times New Roman" w:hAnsi="Times New Roman"/>
          <w:sz w:val="24"/>
          <w:szCs w:val="24"/>
        </w:rPr>
        <w:t>javci.hr/107-2/</w:t>
      </w:r>
      <w:r>
        <w:rPr>
          <w:rStyle w:val="15"/>
          <w:rFonts w:ascii="Times New Roman" w:hAnsi="Times New Roman"/>
          <w:sz w:val="24"/>
          <w:szCs w:val="24"/>
        </w:rPr>
        <w:fldChar w:fldCharType="end"/>
      </w:r>
    </w:p>
    <w:p>
      <w:pPr>
        <w:pStyle w:val="18"/>
        <w:rPr>
          <w:rFonts w:ascii="Times New Roman" w:hAnsi="Times New Roman"/>
          <w:sz w:val="24"/>
          <w:szCs w:val="24"/>
        </w:rPr>
      </w:pPr>
      <w:r>
        <w:rPr>
          <w:rFonts w:ascii="Times New Roman" w:hAnsi="Times New Roman"/>
          <w:sz w:val="24"/>
          <w:szCs w:val="24"/>
        </w:rPr>
        <w:t xml:space="preserve">intervjua s Povjerenstvom.            </w:t>
      </w:r>
    </w:p>
    <w:p>
      <w:pPr>
        <w:pStyle w:val="18"/>
        <w:rPr>
          <w:rFonts w:ascii="Times New Roman" w:hAnsi="Times New Roman"/>
          <w:sz w:val="24"/>
          <w:szCs w:val="24"/>
        </w:rPr>
      </w:pPr>
    </w:p>
    <w:p>
      <w:pPr>
        <w:pStyle w:val="18"/>
        <w:rPr>
          <w:rFonts w:ascii="Times New Roman" w:hAnsi="Times New Roman"/>
          <w:sz w:val="24"/>
          <w:szCs w:val="24"/>
        </w:rPr>
      </w:pPr>
      <w:r>
        <w:rPr>
          <w:rFonts w:ascii="Times New Roman" w:hAnsi="Times New Roman"/>
          <w:sz w:val="24"/>
          <w:szCs w:val="24"/>
        </w:rPr>
        <w:t>Po dolasku na prethodnu provjeru znanja, od kandidata će se zatražiti predočenje odgovarajuće isprave (osobne iskaznice ili putovnice) radi utvrđivanja identiteta. Kandidati koji ne mogu dokazati identitet ne mogu pristupiti prethodnoj provjeri.</w:t>
      </w:r>
    </w:p>
    <w:p>
      <w:pPr>
        <w:pStyle w:val="18"/>
        <w:rPr>
          <w:rFonts w:ascii="Times New Roman" w:hAnsi="Times New Roman"/>
          <w:sz w:val="24"/>
          <w:szCs w:val="24"/>
        </w:rPr>
      </w:pPr>
    </w:p>
    <w:p>
      <w:pPr>
        <w:pStyle w:val="18"/>
        <w:rPr>
          <w:rFonts w:ascii="Times New Roman" w:hAnsi="Times New Roman"/>
          <w:sz w:val="24"/>
          <w:szCs w:val="24"/>
        </w:rPr>
      </w:pPr>
      <w:r>
        <w:rPr>
          <w:rFonts w:ascii="Times New Roman" w:hAnsi="Times New Roman"/>
          <w:sz w:val="24"/>
          <w:szCs w:val="24"/>
        </w:rPr>
        <w:t xml:space="preserve">Po utvrđivanju identiteta, kandidatima će biti podijeljena pitanja za provjeru znanja (opći dio) iz poznavanja Statuta Općine </w:t>
      </w:r>
      <w:r>
        <w:rPr>
          <w:rFonts w:ascii="Times New Roman" w:hAnsi="Times New Roman"/>
          <w:sz w:val="24"/>
          <w:szCs w:val="24"/>
        </w:rPr>
        <w:t>Zmijavci</w:t>
      </w:r>
      <w:r>
        <w:rPr>
          <w:rFonts w:ascii="Times New Roman" w:hAnsi="Times New Roman"/>
          <w:sz w:val="24"/>
          <w:szCs w:val="24"/>
        </w:rPr>
        <w:t>. Pisani test sastoji se od ukupno 10 pitanja.</w:t>
      </w:r>
    </w:p>
    <w:p>
      <w:pPr>
        <w:pStyle w:val="18"/>
        <w:rPr>
          <w:rFonts w:ascii="Times New Roman" w:hAnsi="Times New Roman"/>
          <w:sz w:val="24"/>
          <w:szCs w:val="24"/>
        </w:rPr>
      </w:pPr>
    </w:p>
    <w:p>
      <w:pPr>
        <w:pStyle w:val="18"/>
        <w:rPr>
          <w:rFonts w:ascii="Times New Roman" w:hAnsi="Times New Roman"/>
          <w:sz w:val="24"/>
          <w:szCs w:val="24"/>
        </w:rPr>
      </w:pPr>
      <w:r>
        <w:rPr>
          <w:rFonts w:ascii="Times New Roman" w:hAnsi="Times New Roman"/>
          <w:sz w:val="24"/>
          <w:szCs w:val="24"/>
        </w:rPr>
        <w:t xml:space="preserve">Svaki točan odgovor nosi 1 bod i kandidat može na pismenom dijelu provjere znanja ostvariti najviše 10 bodova. </w:t>
      </w:r>
    </w:p>
    <w:p>
      <w:pPr>
        <w:pStyle w:val="18"/>
        <w:rPr>
          <w:rFonts w:ascii="Times New Roman" w:hAnsi="Times New Roman"/>
          <w:sz w:val="24"/>
          <w:szCs w:val="24"/>
        </w:rPr>
      </w:pPr>
    </w:p>
    <w:p>
      <w:pPr>
        <w:pStyle w:val="18"/>
        <w:rPr>
          <w:rFonts w:ascii="Times New Roman" w:hAnsi="Times New Roman"/>
          <w:sz w:val="24"/>
          <w:szCs w:val="24"/>
        </w:rPr>
      </w:pPr>
      <w:r>
        <w:rPr>
          <w:rFonts w:ascii="Times New Roman" w:hAnsi="Times New Roman"/>
          <w:sz w:val="24"/>
          <w:szCs w:val="24"/>
        </w:rPr>
        <w:t>Na pisanom testiranju nije dozvoljeno koristiti se literaturom i zabilješkama, napuštati prostoriju, razgovarati s ostalim kandidatima niti na bilo koji drugi način remetiti koncentraciju kandidata, a mobitel je potrebno isključiti. Ukoliko pojedini kandidat prekrši naprijed navedena pravila biti će udaljen s provjere znanja, a njegov/njezin rezultat</w:t>
      </w:r>
      <w:r>
        <w:rPr>
          <w:rFonts w:ascii="Times New Roman" w:hAnsi="Times New Roman"/>
          <w:sz w:val="24"/>
          <w:szCs w:val="24"/>
        </w:rPr>
        <w:t xml:space="preserve"> </w:t>
      </w:r>
      <w:r>
        <w:rPr>
          <w:rFonts w:ascii="Times New Roman" w:hAnsi="Times New Roman"/>
          <w:sz w:val="24"/>
          <w:szCs w:val="24"/>
        </w:rPr>
        <w:t>P</w:t>
      </w:r>
      <w:r>
        <w:rPr>
          <w:rFonts w:ascii="Times New Roman" w:hAnsi="Times New Roman"/>
          <w:sz w:val="24"/>
          <w:szCs w:val="24"/>
        </w:rPr>
        <w:t>ovjerenstvo neće priznati niti ocjenjivati.</w:t>
      </w:r>
    </w:p>
    <w:p>
      <w:pPr>
        <w:pStyle w:val="18"/>
        <w:rPr>
          <w:rFonts w:ascii="Times New Roman" w:hAnsi="Times New Roman"/>
          <w:sz w:val="24"/>
          <w:szCs w:val="24"/>
        </w:rPr>
      </w:pPr>
    </w:p>
    <w:p>
      <w:pPr>
        <w:pStyle w:val="18"/>
        <w:rPr>
          <w:rFonts w:ascii="Times New Roman" w:hAnsi="Times New Roman"/>
          <w:sz w:val="24"/>
          <w:szCs w:val="24"/>
        </w:rPr>
      </w:pPr>
      <w:r>
        <w:rPr>
          <w:rFonts w:ascii="Times New Roman" w:hAnsi="Times New Roman"/>
          <w:sz w:val="24"/>
          <w:szCs w:val="24"/>
        </w:rPr>
        <w:t>Pisano testiranje traje maksimalno 45 minuta.</w:t>
      </w:r>
    </w:p>
    <w:p>
      <w:pPr>
        <w:pStyle w:val="18"/>
        <w:rPr>
          <w:rFonts w:ascii="Times New Roman" w:hAnsi="Times New Roman"/>
          <w:sz w:val="24"/>
          <w:szCs w:val="24"/>
        </w:rPr>
      </w:pPr>
    </w:p>
    <w:p>
      <w:pPr>
        <w:pStyle w:val="18"/>
        <w:rPr>
          <w:rFonts w:ascii="Times New Roman" w:hAnsi="Times New Roman"/>
          <w:sz w:val="24"/>
          <w:szCs w:val="24"/>
        </w:rPr>
      </w:pPr>
      <w:r>
        <w:rPr>
          <w:rFonts w:ascii="Times New Roman" w:hAnsi="Times New Roman"/>
          <w:sz w:val="24"/>
          <w:szCs w:val="24"/>
        </w:rPr>
        <w:t>Intervju se provodi samo s kandidatima koji su ostvarili najmanje 50% bodova iz provjere znanja na provedenom testiranju. Povjerenstvo za provedbu natječaja kroz intervju s kandidatima utvrđuje snalažljivost, komunikativnost, kreativnost, profesionalne ciljeve i motivaciju za rad.</w:t>
      </w:r>
    </w:p>
    <w:p>
      <w:pPr>
        <w:pStyle w:val="18"/>
        <w:rPr>
          <w:rFonts w:ascii="Times New Roman" w:hAnsi="Times New Roman"/>
          <w:sz w:val="24"/>
          <w:szCs w:val="24"/>
        </w:rPr>
      </w:pPr>
      <w:r>
        <w:rPr>
          <w:rFonts w:ascii="Times New Roman" w:hAnsi="Times New Roman"/>
          <w:sz w:val="24"/>
          <w:szCs w:val="24"/>
        </w:rPr>
        <w:t>Na intervjuu kandidat može ostvariti maksimalno 10 bodova.</w:t>
      </w:r>
    </w:p>
    <w:p>
      <w:pPr>
        <w:pStyle w:val="18"/>
        <w:rPr>
          <w:rFonts w:ascii="Times New Roman" w:hAnsi="Times New Roman"/>
          <w:sz w:val="24"/>
          <w:szCs w:val="24"/>
        </w:rPr>
      </w:pPr>
      <w:r>
        <w:rPr>
          <w:rFonts w:ascii="Times New Roman" w:hAnsi="Times New Roman"/>
          <w:sz w:val="24"/>
          <w:szCs w:val="24"/>
        </w:rPr>
        <w:t>Nakon provedenog postupka prethodne provjere znanja i sposobnosti, Povjerenstvo za provedbu natječaja sastavlja Izvješće o provedenom postupku i utvrđuje rang listu kandidata prema ukupnom broju ostvarenih bodova na pisanom testiranju i intervjuu.</w:t>
      </w:r>
    </w:p>
    <w:p>
      <w:pPr>
        <w:pStyle w:val="18"/>
      </w:pPr>
    </w:p>
    <w:sectPr>
      <w:pgSz w:w="11906" w:h="16838"/>
      <w:pgMar w:top="709" w:right="1417" w:bottom="993" w:left="1417" w:header="708" w:footer="708" w:gutter="0"/>
      <w:pgNumType/>
      <w:docGrid w:linePitch="360" w:charSpace="0"/>
    </w:sectPr>
  </w:body>
</w:document>
</file>

<file path=word/fontTable.xml><?xml version="1.0" encoding="utf-8"?>
<w:fonts xmlns:w="http://schemas.openxmlformats.org/wordprocessingml/2006/main" xmlns:r="http://schemas.openxmlformats.org/officeDocument/2006/relationships">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panose1 w:val="00000000000000000000"/>
    <w:charset w:val="00"/>
    <w:family w:val="auto"/>
    <w:pitch w:val="variable"/>
    <w:sig w:usb0="00000000" w:usb1="00000000" w:usb2="00000000" w:usb3="00000000" w:csb0="00000000" w:csb1="00000000"/>
  </w:font>
  <w:font w:name="SimSun">
    <w:panose1 w:val="00000000000000000000"/>
    <w:charset w:val="00"/>
    <w:family w:val="auto"/>
    <w:pitch w:val="variable"/>
    <w:sig w:usb0="00000000" w:usb1="00000000" w:usb2="00000000" w:usb3="00000000" w:csb0="00000000" w:csb1="00000000"/>
  </w:font>
  <w:font w:name="Luxi Sans">
    <w:altName w:val="Droid Sans"/>
    <w:panose1 w:val="00000000000000000000"/>
    <w:charset w:val="00"/>
    <w:family w:val="auto"/>
    <w:pitch w:val="variable"/>
    <w:sig w:usb0="00000000" w:usb1="00000000" w:usb2="00000000" w:usb3="00000000" w:csb0="00000000" w:csb1="00000000"/>
  </w:font>
  <w:font w:name="HONOR black body">
    <w:altName w:val="Droid Sans"/>
    <w:panose1 w:val="00000000000000000000"/>
    <w:charset w:val="00"/>
    <w:family w:val="auto"/>
    <w:pitch w:val="variable"/>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multiLevelType w:val="hybridMultilevel"/>
    <w:tmpl w:val="9B2A2832"/>
    <w:lvl w:ilvl="0">
      <w:start w:val="1"/>
      <w:numFmt w:val="decimal"/>
      <w:lvlRestart w:val="0"/>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200"/>
  <w:bordersDoNotSurroundHeader w:val="0"/>
  <w:bordersDoNotSurroundFooter w:val="0"/>
  <w:defaultTabStop w:val="708"/>
  <w:drawingGridHorizontalSpacing w:val="180"/>
  <w:drawingGridVerticalSpacing w:val="180"/>
  <w:displayHorizontalDrawingGridEvery w:val="1"/>
  <w:displayVerticalDrawingGridEvery w:val="1"/>
  <w:compat>
    <w:spaceForUL/>
    <w:growAutofit/>
    <w:doNotUseIndentAsNumberingTabStop/>
    <w:useAltKinsokuLineBreakRules/>
    <w:splitPgBreakAndParaMark/>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rPr>
      <w:rFonts w:ascii="Times New Roman" w:eastAsia="SimSun" w:cs="Times New Roman" w:hAnsi="Times New Roman"/>
      <w:sz w:val="24"/>
      <w:szCs w:val="24"/>
      <w:lang w:val="hr-HR" w:eastAsia="hr-HR"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Luxi Sans" w:eastAsia="HONOR black body" w:hAnsi="Luxi Sans"/>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character" w:styleId="15">
    <w:name w:val="Hyperlink"/>
    <w:rPr>
      <w:color w:val="0000FF"/>
      <w:u w:val="single"/>
    </w:rPr>
  </w:style>
  <w:style w:type="paragraph" w:styleId="16">
    <w:name w:val="Balloon Text"/>
    <w:basedOn w:val="0"/>
    <w:rPr>
      <w:rFonts w:ascii="Segoe UI" w:cs="Segoe UI" w:hAnsi="Segoe UI"/>
      <w:sz w:val="18"/>
      <w:szCs w:val="18"/>
    </w:rPr>
  </w:style>
  <w:style w:type="paragraph" w:styleId="18">
    <w:name w:val="No Spacing"/>
    <w:rPr>
      <w:rFonts w:ascii="Calibri" w:eastAsia="Calibri" w:cs="Times New Roman" w:hAnsi="Calibri"/>
      <w:sz w:val="22"/>
      <w:szCs w:val="22"/>
      <w:lang w:val="hr-HR" w:eastAsia="en-US" w:bidi="ar-SA"/>
    </w:rPr>
  </w:style>
  <w:style w:type="character" w:customStyle="1" w:styleId="19">
    <w:name w:val="Unresolved Mention"/>
    <w:rPr>
      <w:color w:val="605E5C"/>
      <w:shd w:val="clear" w:color="auto" w:fill="E1DFDD"/>
    </w:rPr>
  </w:style>
  <w:style w:type="character" w:styleId="20">
    <w:name w:val="FollowedHyperlink"/>
    <w:rPr>
      <w:color w:val="954F72"/>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126</TotalTime>
  <Application>Honor_Office</Application>
  <Pages>2</Pages>
  <Words>489</Words>
  <Characters>3035</Characters>
  <Lines>71</Lines>
  <Paragraphs>25</Paragraphs>
  <CharactersWithSpaces>3613</CharactersWithSpaces>
  <Company>Općina Brdovec</Company>
</Properties>
</file>

<file path=docProps/core.xml><?xml version="1.0" encoding="utf-8"?>
<cp:coreProperties xmlns:cp="http://schemas.openxmlformats.org/package/2006/metadata/core-properties" xmlns:dc="http://purl.org/dc/elements/1.1/" xmlns:dcterms="http://purl.org/dc/terms/" xmlns:xsi="http://www.w3.org/2001/XMLSchema-instance">
  <dc:title>Opis poslova i podaci o plaći</dc:title>
  <dc:creator>Daniel Bukovinski, dipl.iur.</dc:creator>
  <cp:lastModifiedBy>HONOR Docs</cp:lastModifiedBy>
  <cp:revision>12</cp:revision>
  <cp:lastPrinted>2021-02-03T04:13:00Z</cp:lastPrinted>
  <dcterms:created xsi:type="dcterms:W3CDTF">2019-10-21T04:52:00Z</dcterms:created>
  <dcterms:modified xsi:type="dcterms:W3CDTF">2026-09-29T01:32:05Z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0x010100E738BD6465473D44BDEF80E3880EF615</vt:lpwstr>
  </property>
</Properties>
</file>