
<file path=[Content_Types].xml><?xml version="1.0" encoding="utf-8"?>
<Types xmlns="http://schemas.openxmlformats.org/package/2006/content-types">
  <Default Extension="rels" ContentType="application/vnd.openxmlformats-package.relationships+xml"/>
  <Default Extension="xml" ContentType="application/xml"/>
  <Default Extension="wmf" ContentType="image/wmf"/>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8"/>
      </w:pPr>
      <w:bookmarkStart w:id="0" w:name="_GoBack"/>
      <w:bookmarkEnd w:id="0"/>
      <w:r>
        <w:t xml:space="preserve">               </w:t>
      </w:r>
      <w:r>
        <w:drawing>
          <wp:inline distT="0" distB="0" distL="0" distR="0">
            <wp:extent cx="561975" cy="704850"/>
            <wp:effectExtent l="0" t="0" r="0" b="0"/>
            <wp:docPr id="1" name="Slike 1"/>
            <wp:cNvGraphicFramePr>
              <a:graphicFrameLocks noChangeAspect="1"/>
            </wp:cNvGraphicFramePr>
            <a:graphic>
              <a:graphicData uri="http://schemas.openxmlformats.org/drawingml/2006/picture">
                <pic:pic>
                  <pic:nvPicPr>
                    <pic:cNvPr id="3" name="Slike 3"/>
                    <pic:cNvPicPr/>
                  </pic:nvPicPr>
                  <pic:blipFill>
                    <a:blip r:embed="rId2"/>
                    <a:stretch>
                      <a:fillRect/>
                    </a:stretch>
                  </pic:blipFill>
                  <pic:spPr>
                    <a:xfrm rot="0">
                      <a:off x="0" y="0"/>
                      <a:ext cx="561975" cy="704850"/>
                    </a:xfrm>
                    <a:prstGeom prst="rect"/>
                    <a:noFill/>
                    <a:ln w="12700" cmpd="sng" cap="flat">
                      <a:noFill/>
                      <a:prstDash val="solid"/>
                      <a:round/>
                    </a:ln>
                  </pic:spPr>
                </pic:pic>
              </a:graphicData>
            </a:graphic>
          </wp:inline>
        </w:drawing>
      </w:r>
      <w:r>
        <w:t xml:space="preserve">                                                                                      </w:t>
      </w:r>
      <w:r>
        <w:drawing>
          <wp:inline distT="0" distB="0" distL="0" distR="0">
            <wp:extent cx="885825" cy="819150"/>
            <wp:effectExtent l="0" t="0" r="0" b="0"/>
            <wp:docPr id="4" name="Slike 4" descr="C:\Users\Opcina Zmijavci\Desktop\ZMIJAVCI GRB.jpg"/>
            <wp:cNvGraphicFramePr>
              <a:graphicFrameLocks noChangeAspect="1"/>
            </wp:cNvGraphicFramePr>
            <a:graphic>
              <a:graphicData uri="http://schemas.openxmlformats.org/drawingml/2006/picture">
                <pic:pic>
                  <pic:nvPicPr>
                    <pic:cNvPr id="6" name="Slike 6"/>
                    <pic:cNvPicPr/>
                  </pic:nvPicPr>
                  <pic:blipFill>
                    <a:blip r:embed="rId3"/>
                    <a:stretch>
                      <a:fillRect/>
                    </a:stretch>
                  </pic:blipFill>
                  <pic:spPr>
                    <a:xfrm rot="0">
                      <a:off x="0" y="0"/>
                      <a:ext cx="885825" cy="819150"/>
                    </a:xfrm>
                    <a:prstGeom prst="rect"/>
                    <a:noFill/>
                    <a:ln w="12700" cmpd="sng" cap="flat">
                      <a:noFill/>
                      <a:prstDash val="solid"/>
                      <a:round/>
                    </a:ln>
                  </pic:spPr>
                </pic:pic>
              </a:graphicData>
            </a:graphic>
          </wp:inline>
        </w:drawing>
      </w:r>
      <w:r>
        <w:t xml:space="preserve">           REPUBLIKA HRVATSKA</w:t>
      </w:r>
    </w:p>
    <w:p>
      <w:pPr>
        <w:pStyle w:val="15"/>
      </w:pPr>
      <w:r>
        <w:t>SPLITSKO-DALMATINSKA ŽUPANIJA</w:t>
      </w:r>
    </w:p>
    <w:p>
      <w:pPr>
        <w:pStyle w:val="1"/>
        <w:rPr>
          <w:b/>
          <w:bCs/>
          <w:sz w:val="24"/>
          <w:szCs w:val="24"/>
        </w:rPr>
      </w:pPr>
      <w:r>
        <w:rPr>
          <w:b/>
          <w:bCs/>
          <w:sz w:val="24"/>
          <w:szCs w:val="24"/>
        </w:rPr>
        <w:t>OPĆINA  ZMIJAVCI</w:t>
      </w:r>
    </w:p>
    <w:p>
      <w:pPr>
        <w:pStyle w:val="1"/>
        <w:rPr>
          <w:b/>
          <w:bCs/>
          <w:sz w:val="24"/>
          <w:szCs w:val="24"/>
        </w:rPr>
      </w:pPr>
      <w:r>
        <w:rPr>
          <w:b/>
          <w:bCs/>
          <w:sz w:val="24"/>
          <w:szCs w:val="24"/>
        </w:rPr>
        <w:t>JEDINSTVENI UPRAVNI ODJEL</w:t>
      </w:r>
    </w:p>
    <w:p>
      <w:pPr>
        <w:pStyle w:val="8"/>
      </w:pPr>
    </w:p>
    <w:p>
      <w:pPr>
        <w:spacing w:after="0"/>
        <w:rPr>
          <w:rFonts w:ascii="Arial" w:eastAsia="Times New Roman" w:cs="Arial" w:hAnsi="Arial"/>
          <w:b/>
          <w:bCs/>
          <w:sz w:val="24"/>
          <w:szCs w:val="24"/>
          <w:lang w:eastAsia="hr-HR"/>
        </w:rPr>
      </w:pPr>
      <w:r>
        <w:rPr>
          <w:rFonts w:ascii="Arial" w:eastAsia="Times New Roman" w:cs="Arial" w:hAnsi="Arial"/>
          <w:b/>
          <w:bCs/>
          <w:sz w:val="24"/>
          <w:szCs w:val="24"/>
          <w:lang w:eastAsia="hr-HR"/>
        </w:rPr>
        <w:t>KLASA: 112-01/26-01/1</w:t>
      </w:r>
    </w:p>
    <w:p>
      <w:pPr>
        <w:spacing w:after="0"/>
        <w:rPr>
          <w:rFonts w:ascii="Arial" w:eastAsia="Times New Roman" w:cs="Arial" w:hAnsi="Arial"/>
          <w:b/>
          <w:bCs/>
          <w:sz w:val="24"/>
          <w:szCs w:val="24"/>
          <w:lang w:eastAsia="hr-HR"/>
        </w:rPr>
      </w:pPr>
      <w:r>
        <w:rPr>
          <w:rFonts w:ascii="Arial" w:eastAsia="Times New Roman" w:cs="Arial" w:hAnsi="Arial"/>
          <w:b/>
          <w:bCs/>
          <w:sz w:val="24"/>
          <w:szCs w:val="24"/>
          <w:lang w:eastAsia="hr-HR"/>
        </w:rPr>
        <w:t>URBROJ: 2181-55-03-26-4</w:t>
      </w:r>
    </w:p>
    <w:p>
      <w:pPr>
        <w:rPr>
          <w:rFonts w:ascii="Times New Roman" w:cs="Times New Roman" w:hAnsi="Times New Roman"/>
          <w:sz w:val="24"/>
          <w:szCs w:val="24"/>
        </w:rPr>
      </w:pPr>
      <w:r>
        <w:rPr>
          <w:rFonts w:ascii="Times New Roman" w:cs="Times New Roman" w:hAnsi="Times New Roman"/>
          <w:sz w:val="24"/>
          <w:szCs w:val="24"/>
        </w:rPr>
        <w:t>Zmijavci, 8.10.2026. godine</w:t>
      </w:r>
    </w:p>
    <w:p>
      <w:pPr>
        <w:pStyle w:val="16"/>
      </w:pPr>
    </w:p>
    <w:p>
      <w:pPr>
        <w:pStyle w:val="16"/>
      </w:pPr>
    </w:p>
    <w:p>
      <w:pPr>
        <w:pStyle w:val="16"/>
        <w:rPr>
          <w:rFonts w:ascii="Times New Roman" w:cs="Times New Roman" w:hAnsi="Times New Roman"/>
          <w:sz w:val="24"/>
          <w:szCs w:val="24"/>
        </w:rPr>
      </w:pPr>
      <w:r>
        <w:rPr>
          <w:rFonts w:ascii="Times New Roman" w:cs="Times New Roman" w:hAnsi="Times New Roman"/>
          <w:sz w:val="24"/>
          <w:szCs w:val="24"/>
        </w:rPr>
        <w:t>Na temelju članka 22. Zakona o službenicima i namještenicima u lokalnoj i područnoj</w:t>
      </w:r>
    </w:p>
    <w:p>
      <w:pPr>
        <w:pStyle w:val="16"/>
        <w:rPr>
          <w:rFonts w:ascii="Times New Roman" w:cs="Times New Roman" w:hAnsi="Times New Roman"/>
          <w:sz w:val="24"/>
          <w:szCs w:val="24"/>
        </w:rPr>
      </w:pPr>
      <w:r>
        <w:rPr>
          <w:rFonts w:ascii="Times New Roman" w:cs="Times New Roman" w:hAnsi="Times New Roman"/>
          <w:sz w:val="24"/>
          <w:szCs w:val="24"/>
        </w:rPr>
        <w:t>(regionalnoj) samoupravi („Narodne novine“ broj 86/08, 61/11, 4/18, 112/19, 17/25), a radi prijama u službu na neodređeno vrijeme u Jedinstveni upravni odjel Općine Zmijavci, temeljem objavljenog Javnog natječaja od 25. rujna 2026. godine, Povjerenstvo za provedbu Javnog natječaja objavljuje</w:t>
      </w:r>
    </w:p>
    <w:p>
      <w:pPr>
        <w:pStyle w:val="16"/>
        <w:rPr>
          <w:rFonts w:ascii="Times New Roman" w:cs="Times New Roman" w:hAnsi="Times New Roman"/>
          <w:sz w:val="24"/>
          <w:szCs w:val="24"/>
        </w:rPr>
      </w:pPr>
    </w:p>
    <w:p>
      <w:pPr>
        <w:pStyle w:val="16"/>
        <w:jc w:val="center"/>
        <w:rPr>
          <w:rFonts w:ascii="Times New Roman" w:cs="Times New Roman" w:hAnsi="Times New Roman"/>
          <w:b/>
          <w:sz w:val="24"/>
          <w:szCs w:val="24"/>
        </w:rPr>
      </w:pPr>
      <w:r>
        <w:rPr>
          <w:rFonts w:ascii="Times New Roman" w:cs="Times New Roman" w:hAnsi="Times New Roman"/>
          <w:b/>
          <w:sz w:val="24"/>
          <w:szCs w:val="24"/>
        </w:rPr>
        <w:t>POZIV</w:t>
      </w:r>
    </w:p>
    <w:p>
      <w:pPr>
        <w:pStyle w:val="16"/>
        <w:jc w:val="center"/>
        <w:rPr>
          <w:rFonts w:ascii="Times New Roman" w:cs="Times New Roman" w:hAnsi="Times New Roman"/>
          <w:b/>
          <w:sz w:val="24"/>
          <w:szCs w:val="24"/>
        </w:rPr>
      </w:pPr>
      <w:r>
        <w:rPr>
          <w:rFonts w:ascii="Times New Roman" w:cs="Times New Roman" w:hAnsi="Times New Roman"/>
          <w:b/>
          <w:sz w:val="24"/>
          <w:szCs w:val="24"/>
        </w:rPr>
        <w:t>NA PRETHODNU PROVJERU ZNANJA I SPOSOBNOSTI</w:t>
      </w:r>
    </w:p>
    <w:p>
      <w:pPr>
        <w:pStyle w:val="16"/>
        <w:jc w:val="center"/>
        <w:rPr>
          <w:rFonts w:ascii="Times New Roman" w:cs="Times New Roman" w:hAnsi="Times New Roman"/>
          <w:b/>
          <w:sz w:val="24"/>
          <w:szCs w:val="24"/>
        </w:rPr>
      </w:pPr>
      <w:r>
        <w:rPr>
          <w:rFonts w:ascii="Times New Roman" w:cs="Times New Roman" w:hAnsi="Times New Roman"/>
          <w:b/>
          <w:sz w:val="24"/>
          <w:szCs w:val="24"/>
        </w:rPr>
        <w:t>( PISANO TESTIRANJE)</w:t>
      </w:r>
    </w:p>
    <w:p>
      <w:pPr>
        <w:pStyle w:val="16"/>
        <w:jc w:val="center"/>
        <w:rPr>
          <w:rFonts w:ascii="Times New Roman" w:cs="Times New Roman" w:hAnsi="Times New Roman"/>
          <w:b/>
          <w:sz w:val="24"/>
          <w:szCs w:val="24"/>
        </w:rPr>
      </w:pPr>
    </w:p>
    <w:p>
      <w:pPr>
        <w:pStyle w:val="16"/>
        <w:rPr>
          <w:rFonts w:ascii="Times New Roman" w:cs="Times New Roman" w:hAnsi="Times New Roman"/>
          <w:sz w:val="24"/>
          <w:szCs w:val="24"/>
        </w:rPr>
      </w:pPr>
      <w:r>
        <w:rPr>
          <w:rFonts w:ascii="Times New Roman" w:cs="Times New Roman" w:hAnsi="Times New Roman"/>
          <w:sz w:val="24"/>
          <w:szCs w:val="24"/>
        </w:rPr>
        <w:t>Povjerenstvo za provedbu Javnog natječaja za prijam u službu na neodređeno vrijeme u Jedinstveni upravni odjel Općine Zmijavci, na radno mjesto Komunalni djelatnik - 1 izvršitelj/ica, utvrdilo je da pisanom testiranju mogu pristupiti sljedeći kandidati:</w:t>
      </w:r>
    </w:p>
    <w:p>
      <w:pPr>
        <w:pStyle w:val="16"/>
        <w:rPr>
          <w:rFonts w:ascii="Times New Roman" w:cs="Times New Roman" w:hAnsi="Times New Roman"/>
          <w:sz w:val="24"/>
          <w:szCs w:val="24"/>
        </w:rPr>
      </w:pPr>
    </w:p>
    <w:p>
      <w:pPr>
        <w:pStyle w:val="16"/>
        <w:rPr>
          <w:rFonts w:ascii="Times New Roman" w:cs="Times New Roman" w:hAnsi="Times New Roman"/>
          <w:sz w:val="24"/>
          <w:szCs w:val="24"/>
        </w:rPr>
      </w:pPr>
      <w:r>
        <w:rPr>
          <w:rFonts w:ascii="Times New Roman" w:cs="Times New Roman" w:hAnsi="Times New Roman"/>
          <w:sz w:val="24"/>
          <w:szCs w:val="24"/>
        </w:rPr>
        <w:t>1. MILAN LJUBIČIĆ</w:t>
      </w:r>
    </w:p>
    <w:p>
      <w:pPr>
        <w:pStyle w:val="16"/>
        <w:ind w:left="360"/>
        <w:rPr>
          <w:rFonts w:ascii="Times New Roman" w:cs="Times New Roman" w:hAnsi="Times New Roman"/>
          <w:sz w:val="24"/>
          <w:szCs w:val="24"/>
        </w:rPr>
      </w:pPr>
    </w:p>
    <w:p>
      <w:pPr>
        <w:pStyle w:val="16"/>
        <w:rPr>
          <w:rFonts w:ascii="Times New Roman"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Testiranje kandidata koji ispunjavaju formalne uvjete provodi Povjerenstvo za provedbu postupka javnog natječaja. Za kandidata koji ne pristupi testiranju smatrat će se da je povukao prijavu za natječaj. Testiranje kandidata će se provesti sukladno članku 22. i 23. Zakona o službenicima i namještenicima u lokalnoj i područnoj (regionalnoj) samoupravi („Narodne novine“ broj 86/08, 61/11, 04/18, 112/19, 17/25).</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Provjera znanja i sposobnosti sastoji se od:</w:t>
      </w: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 xml:space="preserve">pisanog testa iz općeg znanja - poznavanja Statuta Općine Zmijavci, dostupan na linku: </w:t>
      </w:r>
      <w:r>
        <w:rPr>
          <w:rFonts w:ascii="Times New Roman" w:eastAsia="Calibri" w:cs="Times New Roman" w:hAnsi="Times New Roman"/>
          <w:color w:val="0000FF"/>
          <w:sz w:val="24"/>
          <w:szCs w:val="24"/>
          <w:u w:val="single"/>
        </w:rPr>
        <w:fldChar w:fldCharType="begin"/>
      </w:r>
      <w:r>
        <w:instrText>HYPERLINK "https://zmijavci.hr/107-2/"</w:instrText>
      </w:r>
      <w:r>
        <w:rPr>
          <w:rFonts w:ascii="Times New Roman" w:eastAsia="Calibri" w:cs="Times New Roman" w:hAnsi="Times New Roman"/>
          <w:color w:val="0000FF"/>
          <w:sz w:val="24"/>
          <w:szCs w:val="24"/>
          <w:u w:val="single"/>
        </w:rPr>
        <w:fldChar w:fldCharType="separate"/>
      </w:r>
      <w:r>
        <w:rPr>
          <w:rFonts w:ascii="Times New Roman" w:eastAsia="Calibri" w:cs="Times New Roman" w:hAnsi="Times New Roman"/>
          <w:color w:val="0000FF"/>
          <w:sz w:val="24"/>
          <w:szCs w:val="24"/>
          <w:u w:val="single"/>
        </w:rPr>
        <w:t>https://zmijavci.hr/107-2/</w:t>
      </w:r>
      <w:r>
        <w:rPr>
          <w:rFonts w:ascii="Times New Roman" w:eastAsia="Calibri" w:cs="Times New Roman" w:hAnsi="Times New Roman"/>
          <w:color w:val="0000FF"/>
          <w:sz w:val="24"/>
          <w:szCs w:val="24"/>
          <w:u w:val="single"/>
        </w:rPr>
        <w:fldChar w:fldCharType="end"/>
      </w: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 xml:space="preserve">intervjua s Povjerenstvom.            </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Po dolasku na prethodnu provjeru znanja, od kandidata će se zatražiti predočenje odgovarajuće isprave (osobne iskaznice ili putovnice) radi utvrđivanja identiteta. Kandidati koji ne mogu dokazati identitet ne mogu pristupiti prethodnoj provjeri.</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Po utvrđivanju identiteta, kandidatima će biti podijeljena pitanja za provjeru znanja (opći dio) iz poznavanja Statuta Općine Zmijavci. Pisani test sastoji se od ukupno 10 pitanja.</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 xml:space="preserve">Svaki točan odgovor nosi 1 bod i kandidat može na pismenom dijelu provjere znanja ostvariti najviše 10 bodova. </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Na pisanom testiranju nije dozvoljeno koristiti se literaturom i zabilješkama, napuštati prostoriju, razgovarati s ostalim kandidatima niti na bilo koji drugi način remetiti koncentraciju kandidata, a mobitel je potrebno isključiti. Ukoliko pojedini kandidat prekrši naprijed navedena pravila biti će udaljen s provjere znanja, a njegov/njezin rezultat Povjerenstvo neće priznati niti ocjenjivati.</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Pisano testiranje traje maksimalno 45 minuta.</w:t>
      </w:r>
    </w:p>
    <w:p>
      <w:pPr>
        <w:spacing w:after="0" w:line="240" w:lineRule="auto"/>
        <w:rPr>
          <w:rFonts w:ascii="Times New Roman" w:eastAsia="Calibri" w:cs="Times New Roman" w:hAnsi="Times New Roman"/>
          <w:sz w:val="24"/>
          <w:szCs w:val="24"/>
        </w:rPr>
      </w:pP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Intervju se provodi samo s kandidatima koji su ostvarili najmanje 50% bodova iz provjere znanja na provedenom testiranju. Povjerenstvo za provedbu natječaja kroz intervju s kandidatima utvrđuje snalažljivost, komunikativnost, kreativnost, profesionalne ciljeve i motivaciju za rad.</w:t>
      </w: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Na intervjuu kandidat može ostvariti maksimalno 10 bodova.</w:t>
      </w:r>
    </w:p>
    <w:p>
      <w:pPr>
        <w:spacing w:after="0" w:line="240" w:lineRule="auto"/>
        <w:rPr>
          <w:rFonts w:ascii="Times New Roman" w:eastAsia="Calibri" w:cs="Times New Roman" w:hAnsi="Times New Roman"/>
          <w:sz w:val="24"/>
          <w:szCs w:val="24"/>
        </w:rPr>
      </w:pPr>
      <w:r>
        <w:rPr>
          <w:rFonts w:ascii="Times New Roman" w:eastAsia="Calibri" w:cs="Times New Roman" w:hAnsi="Times New Roman"/>
          <w:sz w:val="24"/>
          <w:szCs w:val="24"/>
        </w:rPr>
        <w:t>Nakon provedenog postupka prethodne provjere znanja i sposobnosti, Povjerenstvo za provedbu natječaja sastavlja Izvješće o provedenom postupku i utvrđuje rang listu kandidata prema ukupnom broju ostvarenih bodova na pisanom testiranju i intervjuu.</w:t>
      </w:r>
    </w:p>
    <w:p>
      <w:pPr>
        <w:spacing w:after="0" w:line="240" w:lineRule="auto"/>
        <w:rPr>
          <w:rFonts w:ascii="Calibri" w:eastAsia="Calibri" w:cs="Times New Roman" w:hAnsi="Calibri"/>
        </w:rPr>
      </w:pPr>
    </w:p>
    <w:p>
      <w:pPr>
        <w:pStyle w:val="16"/>
        <w:rPr>
          <w:rFonts w:ascii="Times New Roman" w:cs="Times New Roman" w:hAnsi="Times New Roman"/>
          <w:sz w:val="24"/>
          <w:szCs w:val="24"/>
        </w:rPr>
      </w:pPr>
    </w:p>
    <w:p>
      <w:pPr>
        <w:pStyle w:val="16"/>
        <w:rPr>
          <w:rFonts w:ascii="Times New Roman" w:cs="Times New Roman" w:hAnsi="Times New Roman"/>
          <w:b/>
          <w:bCs/>
          <w:sz w:val="24"/>
          <w:szCs w:val="24"/>
          <w:u w:val="single"/>
        </w:rPr>
      </w:pPr>
      <w:r>
        <w:rPr>
          <w:rFonts w:ascii="Times New Roman" w:cs="Times New Roman" w:hAnsi="Times New Roman"/>
          <w:b/>
          <w:bCs/>
          <w:sz w:val="24"/>
          <w:szCs w:val="24"/>
          <w:u w:val="single"/>
        </w:rPr>
        <w:t>Prethodna provjera znanja i sposobnosti kandidata provest će se dana 14. listopada 2026. godine (srijeda) s početkom u 10:00 sati u Uredu Općine Zmijavci, Domovinskog rata 161, 21266 Zmijavci.</w:t>
      </w:r>
    </w:p>
    <w:p>
      <w:pPr>
        <w:pStyle w:val="16"/>
        <w:rPr>
          <w:rFonts w:ascii="Times New Roman" w:cs="Times New Roman" w:hAnsi="Times New Roman"/>
          <w:sz w:val="24"/>
          <w:szCs w:val="24"/>
          <w:u w:val="single"/>
        </w:rPr>
      </w:pPr>
    </w:p>
    <w:p>
      <w:pPr>
        <w:pStyle w:val="16"/>
        <w:rPr>
          <w:rFonts w:ascii="Times New Roman" w:cs="Times New Roman" w:hAnsi="Times New Roman"/>
          <w:sz w:val="24"/>
          <w:szCs w:val="24"/>
        </w:rPr>
      </w:pPr>
      <w:r>
        <w:rPr>
          <w:rFonts w:ascii="Times New Roman" w:cs="Times New Roman" w:hAnsi="Times New Roman"/>
          <w:sz w:val="24"/>
          <w:szCs w:val="24"/>
        </w:rPr>
        <w:t>Datum održavanja pisanog testiranja, s popisom kandidata koji se pozivaju na testiranje, a</w:t>
      </w:r>
    </w:p>
    <w:p>
      <w:pPr>
        <w:pStyle w:val="16"/>
        <w:rPr>
          <w:rFonts w:ascii="Times New Roman" w:cs="Times New Roman" w:hAnsi="Times New Roman"/>
          <w:sz w:val="24"/>
          <w:szCs w:val="24"/>
        </w:rPr>
      </w:pPr>
      <w:r>
        <w:rPr>
          <w:rFonts w:ascii="Times New Roman" w:cs="Times New Roman" w:hAnsi="Times New Roman"/>
          <w:sz w:val="24"/>
          <w:szCs w:val="24"/>
        </w:rPr>
        <w:t>ispunjavaju formalne uvjete objavljen je na web stranici općine Zmijavci www.zmijavci.hr, najmanje 5 dana prije dana održavanja provjere i na Oglasnoj ploči Općine Zmijavci.</w:t>
      </w:r>
    </w:p>
    <w:p>
      <w:pPr>
        <w:pStyle w:val="16"/>
        <w:rPr>
          <w:rFonts w:ascii="Times New Roman" w:cs="Times New Roman" w:hAnsi="Times New Roman"/>
          <w:sz w:val="24"/>
          <w:szCs w:val="24"/>
        </w:rPr>
      </w:pPr>
      <w:r>
        <w:rPr>
          <w:rFonts w:ascii="Times New Roman" w:cs="Times New Roman" w:hAnsi="Times New Roman"/>
          <w:sz w:val="24"/>
          <w:szCs w:val="24"/>
        </w:rPr>
        <w:t>Ako kandidat ne pristupi prethodnoj provjeri znanja i sposobnosti smatrat će se da je povukao</w:t>
      </w:r>
    </w:p>
    <w:p>
      <w:pPr>
        <w:pStyle w:val="16"/>
        <w:rPr>
          <w:rFonts w:ascii="Times New Roman" w:cs="Times New Roman" w:hAnsi="Times New Roman"/>
          <w:sz w:val="24"/>
          <w:szCs w:val="24"/>
        </w:rPr>
      </w:pPr>
      <w:r>
        <w:rPr>
          <w:rFonts w:ascii="Times New Roman" w:cs="Times New Roman" w:hAnsi="Times New Roman"/>
          <w:sz w:val="24"/>
          <w:szCs w:val="24"/>
        </w:rPr>
        <w:t>prijavu na Oglas, o čemu će biti pisano obaviješten.</w:t>
      </w:r>
    </w:p>
    <w:p>
      <w:pPr>
        <w:pStyle w:val="16"/>
        <w:rPr>
          <w:rFonts w:ascii="Times New Roman" w:cs="Times New Roman" w:hAnsi="Times New Roman"/>
          <w:sz w:val="24"/>
          <w:szCs w:val="24"/>
        </w:rPr>
      </w:pPr>
    </w:p>
    <w:p>
      <w:pPr>
        <w:pStyle w:val="16"/>
        <w:rPr>
          <w:rFonts w:ascii="Times New Roman" w:cs="Times New Roman" w:hAnsi="Times New Roman"/>
          <w:sz w:val="24"/>
          <w:szCs w:val="24"/>
        </w:rPr>
      </w:pPr>
      <w:r>
        <w:t xml:space="preserve"> </w:t>
        <w:tab/>
        <w:tab/>
        <w:tab/>
        <w:tab/>
        <w:tab/>
        <w:tab/>
        <w:tab/>
        <w:tab/>
      </w:r>
      <w:r>
        <w:rPr>
          <w:rFonts w:ascii="Times New Roman" w:cs="Times New Roman" w:hAnsi="Times New Roman"/>
          <w:sz w:val="24"/>
          <w:szCs w:val="24"/>
        </w:rPr>
        <w:t>Povjerenstvo za provedbu Oglasa</w:t>
      </w:r>
    </w:p>
    <w:sectPr>
      <w:pgSz w:w="11906" w:h="16838"/>
      <w:pgMar w:top="1417" w:right="1417" w:bottom="1417" w:left="1417"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200"/>
  <w:bordersDoNotSurroundHeader/>
  <w:bordersDoNotSurroundFooter/>
  <w:defaultTabStop w:val="708"/>
  <w:drawingGridHorizontalSpacing w:val="110"/>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Droid Sans" w:eastAsia="Droid Sans" w:cs="Arial"/>
      <w:sz w:val="22"/>
      <w:szCs w:val="22"/>
      <w:lang w:val="hr-HR" w:eastAsia="en-US" w:bidi="ar-SA"/>
    </w:rPr>
  </w:style>
  <w:style w:type="paragraph" w:styleId="1">
    <w:name w:val="heading 1"/>
    <w:basedOn w:val="0"/>
    <w:next w:val="0"/>
    <w:pPr>
      <w:keepNext/>
      <w:spacing w:after="0" w:line="240" w:lineRule="auto"/>
      <w:outlineLvl w:val="0"/>
    </w:pPr>
    <w:rPr>
      <w:rFonts w:ascii="Arial" w:eastAsia="Times New Roman" w:cs="Arial" w:hAnsi="Arial"/>
      <w:sz w:val="28"/>
      <w:szCs w:val="28"/>
      <w:lang w:eastAsia="hr-HR"/>
    </w:rPr>
  </w:style>
  <w:style w:type="paragraph" w:styleId="2">
    <w:name w:val="heading 2"/>
    <w:basedOn w:val="0"/>
    <w:next w:val="0"/>
    <w:pPr>
      <w:keepNext/>
      <w:keepLines/>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spacing w:before="260" w:after="260" w:line="415" w:lineRule="auto"/>
      <w:outlineLvl w:val="2"/>
    </w:pPr>
    <w:rPr>
      <w:b/>
      <w:sz w:val="32"/>
    </w:rPr>
  </w:style>
  <w:style w:type="paragraph" w:styleId="8">
    <w:name w:val="heading 8"/>
    <w:basedOn w:val="0"/>
    <w:next w:val="0"/>
    <w:pPr>
      <w:keepNext/>
      <w:spacing w:after="0" w:line="240" w:lineRule="auto"/>
      <w:outlineLvl w:val="7"/>
    </w:pPr>
    <w:rPr>
      <w:rFonts w:ascii="Arial" w:eastAsia="Times New Roman" w:cs="Arial" w:hAnsi="Arial"/>
      <w:b/>
      <w:bCs/>
      <w:sz w:val="24"/>
      <w:szCs w:val="24"/>
      <w:lang w:eastAsia="hr-HR"/>
    </w:rPr>
  </w:style>
  <w:style w:type="character" w:default="1" w:styleId="10">
    <w:name w:val="Default Paragraph Font"/>
  </w:style>
  <w:style w:type="paragraph" w:styleId="15">
    <w:name w:val="caption"/>
    <w:basedOn w:val="0"/>
    <w:next w:val="0"/>
    <w:pPr>
      <w:spacing w:after="0" w:line="240" w:lineRule="auto"/>
    </w:pPr>
    <w:rPr>
      <w:rFonts w:ascii="Arial" w:eastAsia="Times New Roman" w:cs="Arial" w:hAnsi="Arial"/>
      <w:b/>
      <w:bCs/>
      <w:sz w:val="24"/>
      <w:szCs w:val="24"/>
      <w:lang w:eastAsia="hr-HR"/>
    </w:rPr>
  </w:style>
  <w:style w:type="paragraph" w:customStyle="1" w:styleId="16">
    <w:name w:val="No Spacing"/>
    <w:pPr>
      <w:spacing w:after="0" w:line="240" w:lineRule="auto"/>
    </w:pPr>
    <w:rPr>
      <w:rFonts w:ascii="Droid Sans" w:eastAsia="Droid Sans" w:cs="Arial"/>
      <w:sz w:val="22"/>
      <w:szCs w:val="22"/>
      <w:lang w:val="hr-HR" w:eastAsia="en-US" w:bidi="ar-SA"/>
    </w:rPr>
  </w:style>
  <w:style w:type="character" w:styleId="17">
    <w:name w:val="Hyperlink"/>
    <w:basedOn w:val="10"/>
    <w:rPr>
      <w:color w:val="0563C1"/>
      <w:u w:val="single"/>
    </w:rPr>
  </w:style>
  <w:style w:type="character" w:styleId="18">
    <w:name w:val="FollowedHyperlink"/>
    <w:basedOn w:val="10"/>
    <w:rPr>
      <w:color w:val="954F72"/>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wmf"/><Relationship Id="rId3" Type="http://schemas.openxmlformats.org/officeDocument/2006/relationships/image" Target="media/5.jpeg"/><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86</TotalTime>
  <Application>Honor_Office</Application>
  <Pages>2</Pages>
  <Words>504</Words>
  <Characters>3191</Characters>
  <Lines>87</Lines>
  <Paragraphs>32</Paragraphs>
  <CharactersWithSpaces>3794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Opcina Zmijavci</dc:creator>
  <cp:lastModifiedBy>HONOR Docs</cp:lastModifiedBy>
  <cp:revision>50</cp:revision>
  <dcterms:created xsi:type="dcterms:W3CDTF">2018-06-20T09:40:00Z</dcterms:created>
  <dcterms:modified xsi:type="dcterms:W3CDTF">2026-10-08T05:54:22Z</dcterms:modified>
</cp:coreProperties>
</file>